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B988E" w14:textId="77777777" w:rsidR="00F63F06" w:rsidRPr="00F63F06" w:rsidRDefault="00F63F06" w:rsidP="00F63F0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MODELUL </w:t>
      </w:r>
    </w:p>
    <w:p w14:paraId="08286F88" w14:textId="77777777" w:rsidR="00F63F06" w:rsidRPr="00F63F06" w:rsidRDefault="00F63F06" w:rsidP="00F63F0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documentului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acreditare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gram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</w:t>
      </w:r>
      <w:proofErr w:type="gram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observatorilor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internaţionali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14:paraId="124B7645" w14:textId="77777777" w:rsidR="00F63F06" w:rsidRPr="00F63F06" w:rsidRDefault="00F63F06" w:rsidP="00F63F0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şi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a </w:t>
      </w: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reprezentanţilor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instituţiilor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mass-media </w:t>
      </w: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străine</w:t>
      </w:r>
      <w:proofErr w:type="spellEnd"/>
    </w:p>
    <w:p w14:paraId="740501F1" w14:textId="77777777" w:rsidR="00F63F06" w:rsidRPr="00F63F06" w:rsidRDefault="00F63F06" w:rsidP="00F63F0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la </w:t>
      </w: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alegerile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pentru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Senat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Camera </w:t>
      </w: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Deputaților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din </w:t>
      </w: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anul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2024</w:t>
      </w:r>
    </w:p>
    <w:p w14:paraId="7C9472FF" w14:textId="77777777" w:rsidR="00F63F06" w:rsidRPr="00F63F06" w:rsidRDefault="00F63F06" w:rsidP="00F63F06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(</w:t>
      </w: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număr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înregistrare</w:t>
      </w:r>
      <w:proofErr w:type="spellEnd"/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AEP)</w:t>
      </w:r>
    </w:p>
    <w:p w14:paraId="0B24A512" w14:textId="77777777" w:rsidR="00F63F06" w:rsidRPr="00F63F06" w:rsidRDefault="00F63F06" w:rsidP="00F63F06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F63F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ACREDITARE</w:t>
      </w:r>
    </w:p>
    <w:p w14:paraId="17DD49C1" w14:textId="77777777" w:rsidR="00F63F06" w:rsidRPr="00F63F06" w:rsidRDefault="00F63F06" w:rsidP="00F63F06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1F633D05" w14:textId="77777777" w:rsidR="00F63F06" w:rsidRPr="00F63F06" w:rsidRDefault="00F63F06" w:rsidP="00F63F06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Având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vedere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Cererea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înregistrată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cu nr. ............................/................................,</w:t>
      </w:r>
    </w:p>
    <w:p w14:paraId="3D289C5E" w14:textId="77777777" w:rsidR="00F63F06" w:rsidRPr="00F63F06" w:rsidRDefault="00F63F06" w:rsidP="00F63F06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temeiul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art. 89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. (6) din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Legea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nr. 208/2015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alegerea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Senatului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Camerei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Deputaților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, precum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organizarea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funcționarea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Autorității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Electorale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Permanente, cu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modificările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completările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acreditează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pe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doamna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domnul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..................................................</w:t>
      </w:r>
      <w:r w:rsidRPr="00F63F06">
        <w:rPr>
          <w:rFonts w:ascii="Times New Roman" w:hAnsi="Times New Roman" w:cs="Times New Roman"/>
          <w:sz w:val="24"/>
          <w:szCs w:val="24"/>
          <w:vertAlign w:val="superscript"/>
          <w:lang w:eastAsia="ro-RO"/>
        </w:rPr>
        <w:t>1)</w:t>
      </w:r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vederea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observării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alegerilor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Senat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Camera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Deputaților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din </w:t>
      </w: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anul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 xml:space="preserve"> 2024.</w:t>
      </w:r>
    </w:p>
    <w:p w14:paraId="5A039ACA" w14:textId="77777777" w:rsidR="00F63F06" w:rsidRPr="00F63F06" w:rsidRDefault="00F63F06" w:rsidP="00F63F06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57560CA6" w14:textId="77777777" w:rsidR="00F63F06" w:rsidRPr="00F63F06" w:rsidRDefault="00F63F06" w:rsidP="00F63F06">
      <w:pPr>
        <w:widowControl w:val="0"/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  <w:proofErr w:type="spellStart"/>
      <w:r w:rsidRPr="00F63F06">
        <w:rPr>
          <w:rFonts w:ascii="Times New Roman" w:hAnsi="Times New Roman" w:cs="Times New Roman"/>
          <w:sz w:val="24"/>
          <w:szCs w:val="24"/>
          <w:lang w:eastAsia="ro-RO"/>
        </w:rPr>
        <w:t>Președinte</w:t>
      </w:r>
      <w:proofErr w:type="spellEnd"/>
      <w:r w:rsidRPr="00F63F06">
        <w:rPr>
          <w:rFonts w:ascii="Times New Roman" w:hAnsi="Times New Roman" w:cs="Times New Roman"/>
          <w:sz w:val="24"/>
          <w:szCs w:val="24"/>
          <w:lang w:eastAsia="ro-RO"/>
        </w:rPr>
        <w:t>,</w:t>
      </w:r>
    </w:p>
    <w:p w14:paraId="1B303145" w14:textId="77777777" w:rsidR="00F63F06" w:rsidRPr="00F63F06" w:rsidRDefault="00F63F06" w:rsidP="00F63F06">
      <w:pPr>
        <w:widowControl w:val="0"/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  <w:r w:rsidRPr="00F63F06">
        <w:rPr>
          <w:rFonts w:ascii="Times New Roman" w:hAnsi="Times New Roman" w:cs="Times New Roman"/>
          <w:sz w:val="24"/>
          <w:szCs w:val="24"/>
          <w:lang w:eastAsia="ro-RO"/>
        </w:rPr>
        <w:t>.....................................</w:t>
      </w:r>
      <w:r w:rsidRPr="00F63F06">
        <w:rPr>
          <w:rFonts w:ascii="Times New Roman" w:hAnsi="Times New Roman" w:cs="Times New Roman"/>
          <w:sz w:val="24"/>
          <w:szCs w:val="24"/>
          <w:vertAlign w:val="superscript"/>
          <w:lang w:eastAsia="ro-RO"/>
        </w:rPr>
        <w:t>2)</w:t>
      </w:r>
    </w:p>
    <w:p w14:paraId="5D1BFD58" w14:textId="77777777" w:rsidR="00F63F06" w:rsidRPr="00F63F06" w:rsidRDefault="00F63F06" w:rsidP="00F63F06">
      <w:pPr>
        <w:widowControl w:val="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F63F06">
        <w:rPr>
          <w:rFonts w:ascii="Times New Roman" w:hAnsi="Times New Roman" w:cs="Times New Roman"/>
          <w:sz w:val="24"/>
          <w:szCs w:val="24"/>
          <w:lang w:eastAsia="ro-RO"/>
        </w:rPr>
        <w:t>___________________________________________</w:t>
      </w:r>
    </w:p>
    <w:p w14:paraId="15D2FBBA" w14:textId="77777777" w:rsidR="00F63F06" w:rsidRPr="00F63F06" w:rsidRDefault="00F63F06" w:rsidP="00F63F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</w:pPr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1) Se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înscriu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prenumele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şi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numele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observatorului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internaţional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denumirea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organizației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din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partea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căreia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a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fost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desemnat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,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mandatat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sau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recomandat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sau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ale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reprezentantului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instituţiei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mass-media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străine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denumirea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instituţiei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mass-media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străine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pe care o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reprezintă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,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după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caz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.</w:t>
      </w:r>
    </w:p>
    <w:p w14:paraId="5A0FD17B" w14:textId="77777777" w:rsidR="00F63F06" w:rsidRPr="00F63F06" w:rsidRDefault="00F63F06" w:rsidP="00F63F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trike/>
          <w:color w:val="000000"/>
          <w:sz w:val="16"/>
          <w:szCs w:val="16"/>
          <w:lang w:eastAsia="ro-RO"/>
        </w:rPr>
      </w:pPr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2) Se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înscriu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prenumele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şi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numele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preşedintelui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Autorităţii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Electorale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Permanente,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semnătura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preşedintelui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sau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a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persoanei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împuternicite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către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acesta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să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semneze</w:t>
      </w:r>
      <w:proofErr w:type="spellEnd"/>
      <w:r w:rsidRPr="00F63F06">
        <w:rPr>
          <w:rFonts w:ascii="Times New Roman" w:hAnsi="Times New Roman" w:cs="Times New Roman"/>
          <w:bCs/>
          <w:color w:val="000000"/>
          <w:sz w:val="16"/>
          <w:szCs w:val="16"/>
          <w:lang w:eastAsia="ro-RO"/>
        </w:rPr>
        <w:t>.</w:t>
      </w:r>
    </w:p>
    <w:p w14:paraId="66E7F842" w14:textId="77777777" w:rsidR="00F63F06" w:rsidRDefault="00F63F06" w:rsidP="00F63F06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lang w:eastAsia="ro-RO"/>
        </w:rPr>
      </w:pPr>
      <w:r w:rsidRPr="00F63F06">
        <w:rPr>
          <w:rFonts w:ascii="Times New Roman" w:hAnsi="Times New Roman" w:cs="Times New Roman"/>
          <w:b/>
          <w:bCs/>
          <w:sz w:val="16"/>
          <w:szCs w:val="16"/>
          <w:lang w:eastAsia="ro-RO"/>
        </w:rPr>
        <w:t>NOTE:</w:t>
      </w:r>
    </w:p>
    <w:p w14:paraId="0F61EF9C" w14:textId="77DCA662" w:rsidR="00F63F06" w:rsidRPr="00F63F06" w:rsidRDefault="00F63F06" w:rsidP="00F63F06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  <w:lang w:eastAsia="ro-RO"/>
        </w:rPr>
      </w:pPr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–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Observatorii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internaționali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reprezentanții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instituțiilor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mass-media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străine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pot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asista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la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operațiunile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electorale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ziua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votării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,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începând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cu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ora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6,00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terminând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cu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momentul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încheierii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semnării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către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membrii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biroului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electoral al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secției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votare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a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procesului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-verbal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constatare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a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rezultatelor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votării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secția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respectivă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, precum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la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operațiunile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efectuate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birourile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electorale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pentru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votul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prin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corespondență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,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numai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pe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baza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documentului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acreditare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emis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către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Autoritatea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Electorală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Permanentă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, care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este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valabil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copie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,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însoțit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actul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identitate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>.</w:t>
      </w:r>
    </w:p>
    <w:p w14:paraId="3B31DCA9" w14:textId="77777777" w:rsidR="00F63F06" w:rsidRPr="00F63F06" w:rsidRDefault="00F63F06" w:rsidP="00F63F06">
      <w:pPr>
        <w:widowControl w:val="0"/>
        <w:spacing w:after="0"/>
        <w:jc w:val="both"/>
        <w:rPr>
          <w:rFonts w:ascii="Times New Roman" w:hAnsi="Times New Roman" w:cs="Times New Roman"/>
          <w:sz w:val="16"/>
          <w:szCs w:val="16"/>
          <w:lang w:eastAsia="ro-RO"/>
        </w:rPr>
      </w:pPr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–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Observatorii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internaționali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reprezentanții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instituțiilor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mass-media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străine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nu pot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interveni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niciun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mod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organizarea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desfășurarea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alegerilor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,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având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numai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dreptul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de a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sesiza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scris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președintele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biroului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electoral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cazul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constatării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unei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neregularități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. Orice act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propagandă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electorală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, precum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și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încălcarea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orice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mod </w:t>
      </w:r>
      <w:proofErr w:type="gram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</w:t>
      </w:r>
      <w:proofErr w:type="gram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actului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acreditare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atrag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aplicarea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sancțiunilor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legale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,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suspendarea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acreditării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către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biroul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electoral care a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constatat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abaterea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,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iar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ziua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votării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,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îndepărtarea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imediată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a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persoanei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respective din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secția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votare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>.</w:t>
      </w:r>
    </w:p>
    <w:p w14:paraId="02EB0096" w14:textId="77777777" w:rsidR="00F63F06" w:rsidRPr="00F63F06" w:rsidRDefault="00F63F06" w:rsidP="00F63F06">
      <w:pPr>
        <w:widowControl w:val="0"/>
        <w:jc w:val="both"/>
        <w:rPr>
          <w:rFonts w:ascii="Times New Roman" w:hAnsi="Times New Roman" w:cs="Times New Roman"/>
          <w:sz w:val="16"/>
          <w:szCs w:val="16"/>
          <w:lang w:eastAsia="ro-RO"/>
        </w:rPr>
      </w:pPr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– La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biroul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electoral al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secției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votare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sau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la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biroul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electoral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pentru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votul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prin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corespondență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,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persoanele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acreditate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pot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staționa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numai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spațiul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stabilit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acest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sens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în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localul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vot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de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către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președintele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biroului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 xml:space="preserve"> electoral </w:t>
      </w:r>
      <w:proofErr w:type="spellStart"/>
      <w:r w:rsidRPr="00F63F06">
        <w:rPr>
          <w:rFonts w:ascii="Times New Roman" w:hAnsi="Times New Roman" w:cs="Times New Roman"/>
          <w:sz w:val="16"/>
          <w:szCs w:val="16"/>
          <w:lang w:eastAsia="ro-RO"/>
        </w:rPr>
        <w:t>respectiv</w:t>
      </w:r>
      <w:proofErr w:type="spellEnd"/>
      <w:r w:rsidRPr="00F63F06">
        <w:rPr>
          <w:rFonts w:ascii="Times New Roman" w:hAnsi="Times New Roman" w:cs="Times New Roman"/>
          <w:sz w:val="16"/>
          <w:szCs w:val="16"/>
          <w:lang w:eastAsia="ro-RO"/>
        </w:rPr>
        <w:t>.</w:t>
      </w:r>
    </w:p>
    <w:p w14:paraId="0C822F05" w14:textId="77777777" w:rsidR="00F63F06" w:rsidRPr="00F63F06" w:rsidRDefault="00F63F06" w:rsidP="00F63F06">
      <w:pPr>
        <w:rPr>
          <w:rFonts w:ascii="Times New Roman" w:hAnsi="Times New Roman" w:cs="Times New Roman"/>
          <w:sz w:val="16"/>
          <w:szCs w:val="16"/>
        </w:rPr>
      </w:pPr>
    </w:p>
    <w:sectPr w:rsidR="00F63F06" w:rsidRPr="00F63F06" w:rsidSect="00AA228E">
      <w:headerReference w:type="default" r:id="rId7"/>
      <w:footerReference w:type="default" r:id="rId8"/>
      <w:pgSz w:w="12240" w:h="15840"/>
      <w:pgMar w:top="2269" w:right="1440" w:bottom="1134" w:left="1440" w:header="708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CACB8" w14:textId="77777777" w:rsidR="00C47D69" w:rsidRDefault="00C47D69" w:rsidP="00490E15">
      <w:pPr>
        <w:spacing w:after="0" w:line="240" w:lineRule="auto"/>
      </w:pPr>
      <w:r>
        <w:separator/>
      </w:r>
    </w:p>
  </w:endnote>
  <w:endnote w:type="continuationSeparator" w:id="0">
    <w:p w14:paraId="4920D09A" w14:textId="77777777" w:rsidR="00C47D69" w:rsidRDefault="00C47D69" w:rsidP="0049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15510" w14:textId="77777777" w:rsidR="00D30ACF" w:rsidRDefault="00D30ACF" w:rsidP="00D30ACF">
    <w:pPr>
      <w:pStyle w:val="Footer"/>
      <w:jc w:val="center"/>
      <w:rPr>
        <w:color w:val="1E2D4E"/>
      </w:rPr>
    </w:pPr>
    <w:r>
      <w:rPr>
        <w:noProof/>
        <w:color w:val="1E2D4E"/>
      </w:rPr>
      <w:drawing>
        <wp:inline distT="0" distB="0" distL="0" distR="0" wp14:anchorId="20207A09" wp14:editId="18F66A49">
          <wp:extent cx="4305764" cy="106325"/>
          <wp:effectExtent l="0" t="0" r="0" b="8255"/>
          <wp:docPr id="16378950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89505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0300" cy="108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79339B" w14:textId="77777777" w:rsidR="00D30ACF" w:rsidRPr="00370F4C" w:rsidRDefault="00D30ACF" w:rsidP="00D30ACF">
    <w:pPr>
      <w:pStyle w:val="Footer"/>
      <w:jc w:val="center"/>
      <w:rPr>
        <w:color w:val="1E2D4E"/>
      </w:rPr>
    </w:pPr>
    <w:r w:rsidRPr="00370F4C">
      <w:rPr>
        <w:color w:val="1E2D4E"/>
      </w:rPr>
      <w:t xml:space="preserve">Str. </w:t>
    </w:r>
    <w:proofErr w:type="spellStart"/>
    <w:r w:rsidRPr="00370F4C">
      <w:rPr>
        <w:color w:val="1E2D4E"/>
      </w:rPr>
      <w:t>Stavropoleos</w:t>
    </w:r>
    <w:proofErr w:type="spellEnd"/>
    <w:r w:rsidRPr="00370F4C">
      <w:rPr>
        <w:color w:val="1E2D4E"/>
      </w:rPr>
      <w:t xml:space="preserve">, nr. 6, Sector 3, </w:t>
    </w:r>
    <w:proofErr w:type="spellStart"/>
    <w:r w:rsidRPr="00370F4C">
      <w:rPr>
        <w:color w:val="1E2D4E"/>
      </w:rPr>
      <w:t>Bucureşti</w:t>
    </w:r>
    <w:proofErr w:type="spellEnd"/>
  </w:p>
  <w:p w14:paraId="3ABDB79F" w14:textId="77777777" w:rsidR="00D30ACF" w:rsidRPr="00D30ACF" w:rsidRDefault="00D30ACF" w:rsidP="00D30ACF">
    <w:pPr>
      <w:pStyle w:val="Footer"/>
      <w:jc w:val="center"/>
      <w:rPr>
        <w:color w:val="1E2D4E"/>
      </w:rPr>
    </w:pPr>
    <w:r w:rsidRPr="00D30ACF">
      <w:rPr>
        <w:color w:val="1E2D4E"/>
      </w:rPr>
      <w:t xml:space="preserve">Telefon: 021.310.07.69, e-mail: </w:t>
    </w:r>
    <w:hyperlink r:id="rId2" w:history="1">
      <w:r w:rsidRPr="00D30ACF">
        <w:rPr>
          <w:rStyle w:val="Hyperlink"/>
        </w:rPr>
        <w:t>registratura@roaep.ro</w:t>
      </w:r>
    </w:hyperlink>
    <w:r w:rsidRPr="00D30ACF">
      <w:rPr>
        <w:color w:val="1E2D4E"/>
      </w:rPr>
      <w:t xml:space="preserve"> </w:t>
    </w:r>
  </w:p>
  <w:p w14:paraId="1B3A2169" w14:textId="77777777" w:rsidR="00D30ACF" w:rsidRPr="00C67C45" w:rsidRDefault="00D30ACF" w:rsidP="00D30ACF">
    <w:pPr>
      <w:pStyle w:val="Footer"/>
      <w:jc w:val="center"/>
      <w:rPr>
        <w:color w:val="1E2D4E"/>
      </w:rPr>
    </w:pPr>
    <w:r w:rsidRPr="00D30ACF">
      <w:rPr>
        <w:color w:val="1E2D4E"/>
      </w:rPr>
      <w:t xml:space="preserve"> </w:t>
    </w:r>
    <w:hyperlink r:id="rId3" w:history="1">
      <w:r w:rsidRPr="00340EEB">
        <w:rPr>
          <w:rStyle w:val="Hyperlink"/>
        </w:rPr>
        <w:t>www.roaep.ro</w:t>
      </w:r>
    </w:hyperlink>
    <w:r>
      <w:rPr>
        <w:color w:val="1E2D4E"/>
      </w:rPr>
      <w:t xml:space="preserve"> </w:t>
    </w:r>
  </w:p>
  <w:p w14:paraId="2EE2DBF0" w14:textId="1178E86A" w:rsidR="009909CD" w:rsidRPr="00680347" w:rsidRDefault="009909CD" w:rsidP="009909CD">
    <w:pPr>
      <w:pStyle w:val="Footer"/>
      <w:tabs>
        <w:tab w:val="clear" w:pos="4513"/>
        <w:tab w:val="clear" w:pos="9026"/>
        <w:tab w:val="left" w:pos="2580"/>
      </w:tabs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95D5C" w14:textId="77777777" w:rsidR="00C47D69" w:rsidRDefault="00C47D69" w:rsidP="00490E15">
      <w:pPr>
        <w:spacing w:after="0" w:line="240" w:lineRule="auto"/>
      </w:pPr>
      <w:r>
        <w:separator/>
      </w:r>
    </w:p>
  </w:footnote>
  <w:footnote w:type="continuationSeparator" w:id="0">
    <w:p w14:paraId="4DB263D7" w14:textId="77777777" w:rsidR="00C47D69" w:rsidRDefault="00C47D69" w:rsidP="0049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503E" w14:textId="2F75298A" w:rsidR="00490E15" w:rsidRPr="00490E15" w:rsidRDefault="00E92189" w:rsidP="00490E15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3CC75D76" wp14:editId="039EA939">
          <wp:simplePos x="0" y="0"/>
          <wp:positionH relativeFrom="margin">
            <wp:posOffset>-198120</wp:posOffset>
          </wp:positionH>
          <wp:positionV relativeFrom="paragraph">
            <wp:posOffset>-153035</wp:posOffset>
          </wp:positionV>
          <wp:extent cx="6467475" cy="1132205"/>
          <wp:effectExtent l="0" t="0" r="9525" b="0"/>
          <wp:wrapSquare wrapText="bothSides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475" cy="1132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6D57"/>
    <w:multiLevelType w:val="hybridMultilevel"/>
    <w:tmpl w:val="E69CA4AC"/>
    <w:lvl w:ilvl="0" w:tplc="D318D6A0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DD1"/>
    <w:multiLevelType w:val="hybridMultilevel"/>
    <w:tmpl w:val="6D68C4CA"/>
    <w:lvl w:ilvl="0" w:tplc="D318D6A0">
      <w:numFmt w:val="bullet"/>
      <w:lvlText w:val=""/>
      <w:lvlJc w:val="left"/>
      <w:pPr>
        <w:ind w:left="2651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9B4CB1"/>
    <w:multiLevelType w:val="hybridMultilevel"/>
    <w:tmpl w:val="BE427CA6"/>
    <w:lvl w:ilvl="0" w:tplc="D318D6A0">
      <w:numFmt w:val="bullet"/>
      <w:lvlText w:val=""/>
      <w:lvlJc w:val="left"/>
      <w:pPr>
        <w:ind w:left="1991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21413C3"/>
    <w:multiLevelType w:val="hybridMultilevel"/>
    <w:tmpl w:val="BAAAB8D6"/>
    <w:lvl w:ilvl="0" w:tplc="D318D6A0">
      <w:numFmt w:val="bullet"/>
      <w:lvlText w:val=""/>
      <w:lvlJc w:val="left"/>
      <w:pPr>
        <w:ind w:left="2422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 w15:restartNumberingAfterBreak="0">
    <w:nsid w:val="24B20090"/>
    <w:multiLevelType w:val="hybridMultilevel"/>
    <w:tmpl w:val="A50C2A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7573"/>
    <w:multiLevelType w:val="hybridMultilevel"/>
    <w:tmpl w:val="0696FC50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61868"/>
    <w:multiLevelType w:val="hybridMultilevel"/>
    <w:tmpl w:val="1E04F78E"/>
    <w:lvl w:ilvl="0" w:tplc="D318D6A0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1765E"/>
    <w:multiLevelType w:val="hybridMultilevel"/>
    <w:tmpl w:val="745C6642"/>
    <w:lvl w:ilvl="0" w:tplc="D318D6A0">
      <w:numFmt w:val="bullet"/>
      <w:lvlText w:val=""/>
      <w:lvlJc w:val="left"/>
      <w:pPr>
        <w:ind w:left="1631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C7C6F44"/>
    <w:multiLevelType w:val="hybridMultilevel"/>
    <w:tmpl w:val="C5A02DC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52429B"/>
    <w:multiLevelType w:val="hybridMultilevel"/>
    <w:tmpl w:val="132E188A"/>
    <w:lvl w:ilvl="0" w:tplc="D318D6A0">
      <w:numFmt w:val="bullet"/>
      <w:lvlText w:val=""/>
      <w:lvlJc w:val="left"/>
      <w:pPr>
        <w:ind w:left="2111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37520F7"/>
    <w:multiLevelType w:val="hybridMultilevel"/>
    <w:tmpl w:val="4FF85E76"/>
    <w:lvl w:ilvl="0" w:tplc="D318D6A0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22775378">
    <w:abstractNumId w:val="5"/>
  </w:num>
  <w:num w:numId="2" w16cid:durableId="3363108">
    <w:abstractNumId w:val="8"/>
  </w:num>
  <w:num w:numId="3" w16cid:durableId="166483320">
    <w:abstractNumId w:val="4"/>
  </w:num>
  <w:num w:numId="4" w16cid:durableId="369498266">
    <w:abstractNumId w:val="10"/>
  </w:num>
  <w:num w:numId="5" w16cid:durableId="2585561">
    <w:abstractNumId w:val="9"/>
  </w:num>
  <w:num w:numId="6" w16cid:durableId="334572565">
    <w:abstractNumId w:val="2"/>
  </w:num>
  <w:num w:numId="7" w16cid:durableId="1340934516">
    <w:abstractNumId w:val="1"/>
  </w:num>
  <w:num w:numId="8" w16cid:durableId="1767340047">
    <w:abstractNumId w:val="7"/>
  </w:num>
  <w:num w:numId="9" w16cid:durableId="561872790">
    <w:abstractNumId w:val="0"/>
  </w:num>
  <w:num w:numId="10" w16cid:durableId="1595286770">
    <w:abstractNumId w:val="3"/>
  </w:num>
  <w:num w:numId="11" w16cid:durableId="227031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15"/>
    <w:rsid w:val="0005054C"/>
    <w:rsid w:val="000776B4"/>
    <w:rsid w:val="00081D89"/>
    <w:rsid w:val="00091314"/>
    <w:rsid w:val="000C7BAB"/>
    <w:rsid w:val="000F7A1E"/>
    <w:rsid w:val="00116A9C"/>
    <w:rsid w:val="001A7FA1"/>
    <w:rsid w:val="001B74E3"/>
    <w:rsid w:val="001C7B31"/>
    <w:rsid w:val="001D4735"/>
    <w:rsid w:val="001D65C3"/>
    <w:rsid w:val="001E050E"/>
    <w:rsid w:val="001E4C1C"/>
    <w:rsid w:val="001F248F"/>
    <w:rsid w:val="001F2C39"/>
    <w:rsid w:val="00203088"/>
    <w:rsid w:val="00204FE5"/>
    <w:rsid w:val="002053AF"/>
    <w:rsid w:val="002319B5"/>
    <w:rsid w:val="00241520"/>
    <w:rsid w:val="0024158C"/>
    <w:rsid w:val="00274F6E"/>
    <w:rsid w:val="00282F86"/>
    <w:rsid w:val="00297476"/>
    <w:rsid w:val="002B3CE1"/>
    <w:rsid w:val="002E19E3"/>
    <w:rsid w:val="00303128"/>
    <w:rsid w:val="00303460"/>
    <w:rsid w:val="00303F0F"/>
    <w:rsid w:val="003103B6"/>
    <w:rsid w:val="00346769"/>
    <w:rsid w:val="00357E55"/>
    <w:rsid w:val="00370F4C"/>
    <w:rsid w:val="003714A4"/>
    <w:rsid w:val="003915DA"/>
    <w:rsid w:val="0039374A"/>
    <w:rsid w:val="003951E6"/>
    <w:rsid w:val="003B5859"/>
    <w:rsid w:val="003B6F41"/>
    <w:rsid w:val="003D2F40"/>
    <w:rsid w:val="00412A63"/>
    <w:rsid w:val="00454388"/>
    <w:rsid w:val="00455F15"/>
    <w:rsid w:val="0045620D"/>
    <w:rsid w:val="00466B87"/>
    <w:rsid w:val="004727F3"/>
    <w:rsid w:val="00490E15"/>
    <w:rsid w:val="00494B02"/>
    <w:rsid w:val="004F3A19"/>
    <w:rsid w:val="00503C45"/>
    <w:rsid w:val="00503E16"/>
    <w:rsid w:val="00521A2C"/>
    <w:rsid w:val="00534A9D"/>
    <w:rsid w:val="005506AB"/>
    <w:rsid w:val="00563DCD"/>
    <w:rsid w:val="005C300C"/>
    <w:rsid w:val="005E30D9"/>
    <w:rsid w:val="005F13CC"/>
    <w:rsid w:val="005F710A"/>
    <w:rsid w:val="006136BE"/>
    <w:rsid w:val="00616516"/>
    <w:rsid w:val="00633968"/>
    <w:rsid w:val="006416D4"/>
    <w:rsid w:val="0064427A"/>
    <w:rsid w:val="00673493"/>
    <w:rsid w:val="00680347"/>
    <w:rsid w:val="00684B9B"/>
    <w:rsid w:val="006B7061"/>
    <w:rsid w:val="006F1148"/>
    <w:rsid w:val="00731132"/>
    <w:rsid w:val="00734D44"/>
    <w:rsid w:val="00747BF3"/>
    <w:rsid w:val="00762169"/>
    <w:rsid w:val="00763680"/>
    <w:rsid w:val="007F5E91"/>
    <w:rsid w:val="008355CE"/>
    <w:rsid w:val="0085023E"/>
    <w:rsid w:val="008855B9"/>
    <w:rsid w:val="008A305B"/>
    <w:rsid w:val="0092491E"/>
    <w:rsid w:val="00964B3F"/>
    <w:rsid w:val="009717D3"/>
    <w:rsid w:val="00982685"/>
    <w:rsid w:val="009909CD"/>
    <w:rsid w:val="009A13E5"/>
    <w:rsid w:val="009E1EE0"/>
    <w:rsid w:val="00A13C76"/>
    <w:rsid w:val="00A35E54"/>
    <w:rsid w:val="00A655B5"/>
    <w:rsid w:val="00A728F1"/>
    <w:rsid w:val="00A731C7"/>
    <w:rsid w:val="00A849CB"/>
    <w:rsid w:val="00A97AEB"/>
    <w:rsid w:val="00AA228E"/>
    <w:rsid w:val="00B23161"/>
    <w:rsid w:val="00B311BF"/>
    <w:rsid w:val="00B45A99"/>
    <w:rsid w:val="00B706CE"/>
    <w:rsid w:val="00B73117"/>
    <w:rsid w:val="00B76B69"/>
    <w:rsid w:val="00BA2C57"/>
    <w:rsid w:val="00BA3530"/>
    <w:rsid w:val="00BB642D"/>
    <w:rsid w:val="00BC7193"/>
    <w:rsid w:val="00BD353D"/>
    <w:rsid w:val="00BF0F52"/>
    <w:rsid w:val="00C05840"/>
    <w:rsid w:val="00C06858"/>
    <w:rsid w:val="00C06A77"/>
    <w:rsid w:val="00C41F14"/>
    <w:rsid w:val="00C47D69"/>
    <w:rsid w:val="00CB46EA"/>
    <w:rsid w:val="00CC71DF"/>
    <w:rsid w:val="00CC7298"/>
    <w:rsid w:val="00CD07CA"/>
    <w:rsid w:val="00CF6595"/>
    <w:rsid w:val="00D1345F"/>
    <w:rsid w:val="00D25DBA"/>
    <w:rsid w:val="00D30ACF"/>
    <w:rsid w:val="00DA68F8"/>
    <w:rsid w:val="00DB1953"/>
    <w:rsid w:val="00DD6FA5"/>
    <w:rsid w:val="00DF5E20"/>
    <w:rsid w:val="00E206FC"/>
    <w:rsid w:val="00E40675"/>
    <w:rsid w:val="00E55318"/>
    <w:rsid w:val="00E75287"/>
    <w:rsid w:val="00E77210"/>
    <w:rsid w:val="00E92189"/>
    <w:rsid w:val="00ED1464"/>
    <w:rsid w:val="00ED1B0D"/>
    <w:rsid w:val="00F13E8A"/>
    <w:rsid w:val="00F15B99"/>
    <w:rsid w:val="00F16CA8"/>
    <w:rsid w:val="00F4304C"/>
    <w:rsid w:val="00F4619C"/>
    <w:rsid w:val="00F63F06"/>
    <w:rsid w:val="00F728E0"/>
    <w:rsid w:val="00F76794"/>
    <w:rsid w:val="00F8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AF7BD"/>
  <w15:docId w15:val="{1C957638-4B89-40FA-82FE-1052A00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E15"/>
  </w:style>
  <w:style w:type="paragraph" w:styleId="Footer">
    <w:name w:val="footer"/>
    <w:basedOn w:val="Normal"/>
    <w:link w:val="FooterChar"/>
    <w:uiPriority w:val="99"/>
    <w:unhideWhenUsed/>
    <w:rsid w:val="00490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E15"/>
  </w:style>
  <w:style w:type="paragraph" w:styleId="BalloonText">
    <w:name w:val="Balloon Text"/>
    <w:basedOn w:val="Normal"/>
    <w:link w:val="BalloonTextChar"/>
    <w:uiPriority w:val="99"/>
    <w:semiHidden/>
    <w:unhideWhenUsed/>
    <w:rsid w:val="0049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E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42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1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aep.ro" TargetMode="External"/><Relationship Id="rId2" Type="http://schemas.openxmlformats.org/officeDocument/2006/relationships/hyperlink" Target="mailto:registratura@roaep.r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Anamaria RC</dc:creator>
  <cp:keywords/>
  <dc:description/>
  <cp:lastModifiedBy>Delia-Ana Anton-Truter</cp:lastModifiedBy>
  <cp:revision>2</cp:revision>
  <cp:lastPrinted>2024-09-24T10:21:00Z</cp:lastPrinted>
  <dcterms:created xsi:type="dcterms:W3CDTF">2024-09-30T17:12:00Z</dcterms:created>
  <dcterms:modified xsi:type="dcterms:W3CDTF">2024-09-30T17:12:00Z</dcterms:modified>
</cp:coreProperties>
</file>